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1B50" w14:textId="77777777" w:rsidR="00132504" w:rsidRDefault="00132504">
      <w:pPr>
        <w:pStyle w:val="Corpotesto"/>
        <w:spacing w:before="1"/>
        <w:rPr>
          <w:b/>
          <w:i/>
          <w:sz w:val="10"/>
        </w:rPr>
      </w:pPr>
    </w:p>
    <w:p w14:paraId="5807BC9B" w14:textId="77777777" w:rsidR="00132504" w:rsidRDefault="00000000">
      <w:pPr>
        <w:pStyle w:val="Titolo"/>
        <w:spacing w:line="276" w:lineRule="auto"/>
      </w:pPr>
      <w:r>
        <w:t>La</w:t>
      </w:r>
      <w:r>
        <w:rPr>
          <w:spacing w:val="-3"/>
        </w:rPr>
        <w:t xml:space="preserve"> </w:t>
      </w:r>
      <w:r>
        <w:t>stima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impatto</w:t>
      </w:r>
      <w:r>
        <w:rPr>
          <w:spacing w:val="-7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salute</w:t>
      </w:r>
      <w:r>
        <w:rPr>
          <w:spacing w:val="-4"/>
        </w:rPr>
        <w:t xml:space="preserve"> </w:t>
      </w:r>
      <w:r>
        <w:t>dell’esposizione a</w:t>
      </w:r>
      <w:r>
        <w:rPr>
          <w:spacing w:val="-7"/>
        </w:rPr>
        <w:t xml:space="preserve"> </w:t>
      </w:r>
      <w:r>
        <w:t>lungo</w:t>
      </w:r>
      <w:r>
        <w:rPr>
          <w:spacing w:val="-3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particolato atmosferico in Italia: un aggiornamento alla luce delle nuove evidenze</w:t>
      </w:r>
    </w:p>
    <w:p w14:paraId="3BDB5968" w14:textId="77777777" w:rsidR="00132504" w:rsidRDefault="00000000">
      <w:pPr>
        <w:pStyle w:val="Corpotesto"/>
        <w:spacing w:before="262" w:line="276" w:lineRule="auto"/>
        <w:ind w:left="281" w:right="279"/>
        <w:jc w:val="center"/>
      </w:pPr>
      <w:r>
        <w:t>Andrea</w:t>
      </w:r>
      <w:r>
        <w:rPr>
          <w:spacing w:val="-5"/>
        </w:rPr>
        <w:t xml:space="preserve"> </w:t>
      </w:r>
      <w:r>
        <w:t>Ranzi</w:t>
      </w:r>
      <w:r>
        <w:rPr>
          <w:vertAlign w:val="superscript"/>
        </w:rPr>
        <w:t>1</w:t>
      </w:r>
      <w:r>
        <w:t>*,</w:t>
      </w:r>
      <w:r>
        <w:rPr>
          <w:spacing w:val="-4"/>
        </w:rPr>
        <w:t xml:space="preserve"> </w:t>
      </w:r>
      <w:r>
        <w:t>Carla</w:t>
      </w:r>
      <w:r>
        <w:rPr>
          <w:spacing w:val="-6"/>
        </w:rPr>
        <w:t xml:space="preserve"> </w:t>
      </w:r>
      <w:r>
        <w:t>Ancona</w:t>
      </w:r>
      <w:r>
        <w:rPr>
          <w:vertAlign w:val="superscript"/>
        </w:rPr>
        <w:t>2</w:t>
      </w:r>
      <w:r>
        <w:t>,</w:t>
      </w:r>
      <w:r>
        <w:rPr>
          <w:spacing w:val="-4"/>
        </w:rPr>
        <w:t xml:space="preserve"> </w:t>
      </w:r>
      <w:r>
        <w:t>Giorgio</w:t>
      </w:r>
      <w:r>
        <w:rPr>
          <w:spacing w:val="-4"/>
        </w:rPr>
        <w:t xml:space="preserve"> </w:t>
      </w:r>
      <w:r>
        <w:t>Cattani</w:t>
      </w:r>
      <w:r>
        <w:rPr>
          <w:vertAlign w:val="superscript"/>
        </w:rPr>
        <w:t>3</w:t>
      </w:r>
      <w:r>
        <w:t>,</w:t>
      </w:r>
      <w:r>
        <w:rPr>
          <w:spacing w:val="-4"/>
        </w:rPr>
        <w:t xml:space="preserve"> </w:t>
      </w:r>
      <w:r>
        <w:t>Annamaria</w:t>
      </w:r>
      <w:r>
        <w:rPr>
          <w:spacing w:val="-4"/>
        </w:rPr>
        <w:t xml:space="preserve"> </w:t>
      </w:r>
      <w:r>
        <w:t>Colacci</w:t>
      </w:r>
      <w:r>
        <w:rPr>
          <w:vertAlign w:val="superscript"/>
        </w:rPr>
        <w:t>1</w:t>
      </w:r>
      <w:r>
        <w:t>,</w:t>
      </w:r>
      <w:r>
        <w:rPr>
          <w:spacing w:val="-4"/>
        </w:rPr>
        <w:t xml:space="preserve"> </w:t>
      </w:r>
      <w:r>
        <w:t>Simone</w:t>
      </w:r>
      <w:r>
        <w:rPr>
          <w:spacing w:val="-4"/>
        </w:rPr>
        <w:t xml:space="preserve"> </w:t>
      </w:r>
      <w:r>
        <w:t>Giannini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Ivano Iavarone</w:t>
      </w:r>
      <w:r>
        <w:rPr>
          <w:vertAlign w:val="superscript"/>
        </w:rPr>
        <w:t>4</w:t>
      </w:r>
      <w:r>
        <w:t>, Paola Michelozzi</w:t>
      </w:r>
      <w:r>
        <w:rPr>
          <w:vertAlign w:val="superscript"/>
        </w:rPr>
        <w:t>2</w:t>
      </w:r>
      <w:r>
        <w:t>, Giada Minelli</w:t>
      </w:r>
      <w:r>
        <w:rPr>
          <w:vertAlign w:val="superscript"/>
        </w:rPr>
        <w:t>4</w:t>
      </w:r>
      <w:r>
        <w:t>, Massimo Stafoggia</w:t>
      </w:r>
      <w:r>
        <w:rPr>
          <w:vertAlign w:val="superscript"/>
        </w:rPr>
        <w:t>2</w:t>
      </w:r>
      <w:r>
        <w:t>, per il gruppo VIIAS-RIAS</w:t>
      </w:r>
    </w:p>
    <w:p w14:paraId="6901AF1D" w14:textId="77777777" w:rsidR="00132504" w:rsidRDefault="00000000">
      <w:pPr>
        <w:spacing w:before="263"/>
        <w:ind w:left="493" w:right="137"/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CTR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Ambiente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Salute,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Arpae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Emilia-Romagna;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  <w:vertAlign w:val="superscript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Epidemiologia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SSR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Lazio ASL Roma1,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 Dip. valutazione, i controlli e la sostenibilità ambientale - ISPRA, </w:t>
      </w:r>
      <w:r>
        <w:rPr>
          <w:i/>
          <w:sz w:val="24"/>
          <w:vertAlign w:val="superscript"/>
        </w:rPr>
        <w:t>4</w:t>
      </w:r>
      <w:r>
        <w:rPr>
          <w:i/>
          <w:sz w:val="24"/>
        </w:rPr>
        <w:t xml:space="preserve"> ISS</w:t>
      </w:r>
    </w:p>
    <w:p w14:paraId="00A7DE8E" w14:textId="77777777" w:rsidR="00132504" w:rsidRPr="00B7688E" w:rsidRDefault="00000000">
      <w:pPr>
        <w:ind w:left="634" w:right="279"/>
        <w:jc w:val="center"/>
        <w:rPr>
          <w:i/>
          <w:sz w:val="24"/>
          <w:lang w:val="en-GB"/>
        </w:rPr>
      </w:pPr>
      <w:r w:rsidRPr="00B7688E">
        <w:rPr>
          <w:i/>
          <w:sz w:val="24"/>
          <w:lang w:val="en-GB"/>
        </w:rPr>
        <w:t>*</w:t>
      </w:r>
      <w:r w:rsidRPr="00B7688E">
        <w:rPr>
          <w:i/>
          <w:spacing w:val="-3"/>
          <w:sz w:val="24"/>
          <w:lang w:val="en-GB"/>
        </w:rPr>
        <w:t xml:space="preserve"> </w:t>
      </w:r>
      <w:r w:rsidRPr="00B7688E">
        <w:rPr>
          <w:i/>
          <w:sz w:val="24"/>
          <w:lang w:val="en-GB"/>
        </w:rPr>
        <w:t>Corresponding</w:t>
      </w:r>
      <w:r w:rsidRPr="00B7688E">
        <w:rPr>
          <w:i/>
          <w:spacing w:val="-2"/>
          <w:sz w:val="24"/>
          <w:lang w:val="en-GB"/>
        </w:rPr>
        <w:t xml:space="preserve"> </w:t>
      </w:r>
      <w:r w:rsidRPr="00B7688E">
        <w:rPr>
          <w:i/>
          <w:sz w:val="24"/>
          <w:lang w:val="en-GB"/>
        </w:rPr>
        <w:t>author.</w:t>
      </w:r>
      <w:r w:rsidRPr="00B7688E">
        <w:rPr>
          <w:i/>
          <w:spacing w:val="-5"/>
          <w:sz w:val="24"/>
          <w:lang w:val="en-GB"/>
        </w:rPr>
        <w:t xml:space="preserve"> </w:t>
      </w:r>
      <w:r w:rsidRPr="00B7688E">
        <w:rPr>
          <w:i/>
          <w:sz w:val="24"/>
          <w:lang w:val="en-GB"/>
        </w:rPr>
        <w:t>Tel:</w:t>
      </w:r>
      <w:r w:rsidRPr="00B7688E">
        <w:rPr>
          <w:i/>
          <w:spacing w:val="-2"/>
          <w:sz w:val="24"/>
          <w:lang w:val="en-GB"/>
        </w:rPr>
        <w:t xml:space="preserve"> </w:t>
      </w:r>
      <w:r w:rsidRPr="00B7688E">
        <w:rPr>
          <w:i/>
          <w:sz w:val="24"/>
          <w:lang w:val="en-GB"/>
        </w:rPr>
        <w:t>+39</w:t>
      </w:r>
      <w:r w:rsidRPr="00B7688E">
        <w:rPr>
          <w:i/>
          <w:spacing w:val="-3"/>
          <w:sz w:val="24"/>
          <w:lang w:val="en-GB"/>
        </w:rPr>
        <w:t xml:space="preserve"> </w:t>
      </w:r>
      <w:r w:rsidRPr="00B7688E">
        <w:rPr>
          <w:i/>
          <w:sz w:val="24"/>
          <w:lang w:val="en-GB"/>
        </w:rPr>
        <w:t>059</w:t>
      </w:r>
      <w:r w:rsidRPr="00B7688E">
        <w:rPr>
          <w:i/>
          <w:spacing w:val="-2"/>
          <w:sz w:val="24"/>
          <w:lang w:val="en-GB"/>
        </w:rPr>
        <w:t xml:space="preserve"> </w:t>
      </w:r>
      <w:r w:rsidRPr="00B7688E">
        <w:rPr>
          <w:i/>
          <w:sz w:val="24"/>
          <w:lang w:val="en-GB"/>
        </w:rPr>
        <w:t>433625,</w:t>
      </w:r>
      <w:r w:rsidRPr="00B7688E">
        <w:rPr>
          <w:i/>
          <w:spacing w:val="-2"/>
          <w:sz w:val="24"/>
          <w:lang w:val="en-GB"/>
        </w:rPr>
        <w:t xml:space="preserve"> </w:t>
      </w:r>
      <w:r w:rsidR="00132504">
        <w:fldChar w:fldCharType="begin"/>
      </w:r>
      <w:r w:rsidR="00132504" w:rsidRPr="00C7091C">
        <w:rPr>
          <w:lang w:val="en-US"/>
        </w:rPr>
        <w:instrText>HYPERLINK "mailto:aranzi@arpae.it" \h</w:instrText>
      </w:r>
      <w:r w:rsidR="00132504">
        <w:fldChar w:fldCharType="separate"/>
      </w:r>
      <w:proofErr w:type="spellStart"/>
      <w:r w:rsidR="00132504" w:rsidRPr="00B7688E">
        <w:rPr>
          <w:i/>
          <w:sz w:val="24"/>
          <w:lang w:val="en-GB"/>
        </w:rPr>
        <w:t>E-</w:t>
      </w:r>
      <w:r w:rsidR="00132504" w:rsidRPr="00B7688E">
        <w:rPr>
          <w:i/>
          <w:spacing w:val="-2"/>
          <w:sz w:val="24"/>
          <w:lang w:val="en-GB"/>
        </w:rPr>
        <w:t>mail:aranzi@arpae.it</w:t>
      </w:r>
      <w:proofErr w:type="spellEnd"/>
      <w:r w:rsidR="00132504">
        <w:fldChar w:fldCharType="end"/>
      </w:r>
    </w:p>
    <w:p w14:paraId="43119A18" w14:textId="77777777" w:rsidR="00132504" w:rsidRDefault="00000000">
      <w:pPr>
        <w:spacing w:before="225"/>
        <w:ind w:left="112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Valutazione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impatto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salute,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PM2,5,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PM10,</w:t>
      </w:r>
      <w:r>
        <w:rPr>
          <w:i/>
          <w:spacing w:val="-2"/>
          <w:sz w:val="24"/>
        </w:rPr>
        <w:t xml:space="preserve"> mortalità</w:t>
      </w:r>
    </w:p>
    <w:p w14:paraId="15516084" w14:textId="77777777" w:rsidR="00132504" w:rsidRDefault="00132504">
      <w:pPr>
        <w:pStyle w:val="Corpotesto"/>
        <w:spacing w:before="1"/>
        <w:rPr>
          <w:i/>
          <w:sz w:val="22"/>
        </w:rPr>
      </w:pPr>
    </w:p>
    <w:p w14:paraId="6DF06611" w14:textId="77777777" w:rsidR="00132504" w:rsidRDefault="00000000">
      <w:pPr>
        <w:pStyle w:val="Corpotesto"/>
        <w:spacing w:before="1" w:line="276" w:lineRule="auto"/>
        <w:ind w:left="112" w:right="110"/>
        <w:jc w:val="both"/>
      </w:pPr>
      <w:r>
        <w:t>Introduzione: I rischi per la salute associati ad esposizioni a lungo termine a PM</w:t>
      </w:r>
      <w:r>
        <w:rPr>
          <w:vertAlign w:val="subscript"/>
        </w:rPr>
        <w:t>10</w:t>
      </w:r>
      <w:r>
        <w:t xml:space="preserve"> e PM</w:t>
      </w:r>
      <w:r>
        <w:rPr>
          <w:vertAlign w:val="subscript"/>
        </w:rPr>
        <w:t>2,5</w:t>
      </w:r>
      <w:r>
        <w:t xml:space="preserve"> sono di grande</w:t>
      </w:r>
      <w:r>
        <w:rPr>
          <w:spacing w:val="-3"/>
        </w:rPr>
        <w:t xml:space="preserve"> </w:t>
      </w:r>
      <w:r>
        <w:t>rilevanza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comportano</w:t>
      </w:r>
      <w:r>
        <w:rPr>
          <w:spacing w:val="-2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cardiovascolare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respiratorio, ma possono interessare anche altri organi (1). Le Nuove Linee Guida per la qualità dell’aria (AQG) recentemente aggiornate dall’Organizzazione Mondiale della Sanità (OMS) accolgono le</w:t>
      </w:r>
      <w:r>
        <w:rPr>
          <w:spacing w:val="40"/>
        </w:rPr>
        <w:t xml:space="preserve"> </w:t>
      </w:r>
      <w:r>
        <w:t xml:space="preserve">nuove stime </w:t>
      </w:r>
      <w:proofErr w:type="spellStart"/>
      <w:r>
        <w:t>metanalitiche</w:t>
      </w:r>
      <w:proofErr w:type="spellEnd"/>
      <w:r>
        <w:t xml:space="preserve"> degli effetti del particolato e di altri inquinanti sulla salute umana (2) raccomandando livelli medi annuali di PM</w:t>
      </w:r>
      <w:r>
        <w:rPr>
          <w:vertAlign w:val="subscript"/>
        </w:rPr>
        <w:t>2,5</w:t>
      </w:r>
      <w:r>
        <w:t xml:space="preserve"> e PM10 rispettivamente di 5 </w:t>
      </w:r>
      <w:r>
        <w:rPr>
          <w:rFonts w:ascii="Symbol" w:hAnsi="Symbol"/>
        </w:rPr>
        <w:t></w:t>
      </w:r>
      <w:r>
        <w:t>g/m</w:t>
      </w:r>
      <w:r>
        <w:rPr>
          <w:vertAlign w:val="superscript"/>
        </w:rPr>
        <w:t>3</w:t>
      </w:r>
      <w:r>
        <w:t xml:space="preserve"> e 15 </w:t>
      </w:r>
      <w:r>
        <w:rPr>
          <w:rFonts w:ascii="Symbol" w:hAnsi="Symbol"/>
        </w:rPr>
        <w:t></w:t>
      </w:r>
      <w:r>
        <w:t>g/m</w:t>
      </w:r>
      <w:r>
        <w:rPr>
          <w:vertAlign w:val="superscript"/>
        </w:rPr>
        <w:t>3</w:t>
      </w:r>
      <w:r>
        <w:t xml:space="preserve"> (3). Si presentano le stime di impatto sulla salute dell’inquinamento atmosferico sul territorio nazionale, aggiornate alla luce delle recenti evidenze.</w:t>
      </w:r>
    </w:p>
    <w:p w14:paraId="3A888A45" w14:textId="77777777" w:rsidR="00132504" w:rsidRDefault="00000000">
      <w:pPr>
        <w:pStyle w:val="Corpotesto"/>
        <w:spacing w:line="276" w:lineRule="auto"/>
        <w:ind w:left="112" w:right="108"/>
        <w:jc w:val="both"/>
      </w:pPr>
      <w:r>
        <w:t xml:space="preserve">Metodi: Seguendo la metodologia VIIAS - Valutazione Integrata di Impatto Ambientale Sanitario (5), per la stima della </w:t>
      </w:r>
      <w:proofErr w:type="spellStart"/>
      <w:r>
        <w:rPr>
          <w:i/>
        </w:rPr>
        <w:t>Population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Weighted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Exposure</w:t>
      </w:r>
      <w:proofErr w:type="spellEnd"/>
      <w:r>
        <w:rPr>
          <w:i/>
        </w:rPr>
        <w:t xml:space="preserve"> (PWE</w:t>
      </w:r>
      <w:r>
        <w:t xml:space="preserve">) è stato utilizzato un modello </w:t>
      </w:r>
      <w:r>
        <w:rPr>
          <w:i/>
        </w:rPr>
        <w:t>random</w:t>
      </w:r>
      <w:r>
        <w:t xml:space="preserve">- </w:t>
      </w:r>
      <w:proofErr w:type="spellStart"/>
      <w:r>
        <w:rPr>
          <w:i/>
        </w:rPr>
        <w:t>forest</w:t>
      </w:r>
      <w:proofErr w:type="spellEnd"/>
      <w:r>
        <w:rPr>
          <w:i/>
        </w:rPr>
        <w:t xml:space="preserve"> </w:t>
      </w:r>
      <w:r>
        <w:t>con una risoluzione spaziale di 1x1 km, aggiornato agli anni 2016-2019 con i dati forniti dal Sistema Nazionale per la Protezione dell’Ambiente (SNPA) (4). La popolazione in studio (età &gt;=</w:t>
      </w:r>
      <w:r>
        <w:rPr>
          <w:spacing w:val="80"/>
        </w:rPr>
        <w:t xml:space="preserve"> </w:t>
      </w:r>
      <w:r>
        <w:t>30 anni) è</w:t>
      </w:r>
      <w:r>
        <w:rPr>
          <w:spacing w:val="-1"/>
        </w:rPr>
        <w:t xml:space="preserve"> </w:t>
      </w:r>
      <w:r>
        <w:t>quella ISTAT 2020, a</w:t>
      </w:r>
      <w:r>
        <w:rPr>
          <w:spacing w:val="-1"/>
        </w:rPr>
        <w:t xml:space="preserve"> </w:t>
      </w:r>
      <w:r>
        <w:t>livello di sezione</w:t>
      </w:r>
      <w:r>
        <w:rPr>
          <w:spacing w:val="-3"/>
        </w:rPr>
        <w:t xml:space="preserve"> </w:t>
      </w:r>
      <w:r>
        <w:t>censuaria. I</w:t>
      </w:r>
      <w:r>
        <w:rPr>
          <w:spacing w:val="-3"/>
        </w:rPr>
        <w:t xml:space="preserve"> </w:t>
      </w:r>
      <w:r>
        <w:t>tassi di mortalità naturale</w:t>
      </w:r>
      <w:r>
        <w:rPr>
          <w:spacing w:val="-1"/>
        </w:rPr>
        <w:t xml:space="preserve"> </w:t>
      </w:r>
      <w:r>
        <w:t>e per</w:t>
      </w:r>
      <w:r>
        <w:rPr>
          <w:spacing w:val="-1"/>
        </w:rPr>
        <w:t xml:space="preserve"> </w:t>
      </w:r>
      <w:r>
        <w:t>causa specifica sono stati forniti dal Servizio di Statistica dell'Istituto Superiore di Sanità. Come soglia è stato utilizzato il valore delle nuove AQG e le funzioni concentrazione-risposta sono quelle appena pubblicate dall’OMS.</w:t>
      </w:r>
    </w:p>
    <w:p w14:paraId="232D48B8" w14:textId="77777777" w:rsidR="00132504" w:rsidRDefault="00000000">
      <w:pPr>
        <w:pStyle w:val="Corpotesto"/>
        <w:spacing w:line="276" w:lineRule="auto"/>
        <w:ind w:left="112" w:right="110"/>
        <w:jc w:val="both"/>
      </w:pPr>
      <w:r>
        <w:t>Risultati: La popolazione italiana nel periodo 2016-19 è risultata esposta a un livello di PM</w:t>
      </w:r>
      <w:r>
        <w:rPr>
          <w:vertAlign w:val="subscript"/>
        </w:rPr>
        <w:t>2,5</w:t>
      </w:r>
      <w:r>
        <w:t xml:space="preserve"> pari</w:t>
      </w:r>
      <w:r>
        <w:rPr>
          <w:spacing w:val="-1"/>
        </w:rPr>
        <w:t xml:space="preserve"> </w:t>
      </w:r>
      <w:r>
        <w:t xml:space="preserve">a 16,5 </w:t>
      </w:r>
      <w:r>
        <w:rPr>
          <w:rFonts w:ascii="Symbol" w:hAnsi="Symbol"/>
        </w:rPr>
        <w:t></w:t>
      </w:r>
      <w:r>
        <w:t>g/m</w:t>
      </w:r>
      <w:r>
        <w:rPr>
          <w:vertAlign w:val="superscript"/>
        </w:rPr>
        <w:t>3</w:t>
      </w:r>
      <w:r>
        <w:t xml:space="preserve"> (20,5 al Nord e 12,6 al Sud), valore al di sotto del limite di legge dell'UE (25 </w:t>
      </w:r>
      <w:r>
        <w:rPr>
          <w:rFonts w:ascii="Symbol" w:hAnsi="Symbol"/>
        </w:rPr>
        <w:t></w:t>
      </w:r>
      <w:r>
        <w:t>g/m3 come media annuale), ma superiore al livello raccomandato nelle AQG dell'OMS 2021 e a quello raccomandato dal 2005. Ogni anno 50.856 morti in Italia sono attribuibili al PM</w:t>
      </w:r>
      <w:r>
        <w:rPr>
          <w:vertAlign w:val="subscript"/>
        </w:rPr>
        <w:t>2,5</w:t>
      </w:r>
      <w:r>
        <w:t>, l’8,3% della mortalità nazionale per tutte le cause naturali, con valori più elevati (11%) nella parte settentrionale d'Italia. La</w:t>
      </w:r>
      <w:r>
        <w:rPr>
          <w:spacing w:val="-3"/>
        </w:rPr>
        <w:t xml:space="preserve"> </w:t>
      </w:r>
      <w:r>
        <w:t>maggior</w:t>
      </w:r>
      <w:r>
        <w:rPr>
          <w:spacing w:val="-3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decessi</w:t>
      </w:r>
      <w:r>
        <w:rPr>
          <w:spacing w:val="-2"/>
        </w:rPr>
        <w:t xml:space="preserve"> </w:t>
      </w:r>
      <w:r>
        <w:t>attribuibili</w:t>
      </w:r>
      <w:r>
        <w:rPr>
          <w:spacing w:val="-2"/>
        </w:rPr>
        <w:t xml:space="preserve"> </w:t>
      </w:r>
      <w:r>
        <w:t>all'inquinamento</w:t>
      </w:r>
      <w:r>
        <w:rPr>
          <w:spacing w:val="-2"/>
        </w:rPr>
        <w:t xml:space="preserve"> </w:t>
      </w:r>
      <w:r>
        <w:t>atmosferico</w:t>
      </w:r>
      <w:r>
        <w:rPr>
          <w:spacing w:val="-2"/>
        </w:rPr>
        <w:t xml:space="preserve"> </w:t>
      </w:r>
      <w:r>
        <w:t>in Italia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dovuti a malattie cardiovascolari.</w:t>
      </w:r>
    </w:p>
    <w:p w14:paraId="1B4B718B" w14:textId="77777777" w:rsidR="00132504" w:rsidRDefault="00000000">
      <w:pPr>
        <w:pStyle w:val="Corpotesto"/>
        <w:spacing w:line="276" w:lineRule="auto"/>
        <w:ind w:left="112" w:right="113"/>
        <w:jc w:val="both"/>
      </w:pPr>
      <w:r>
        <w:t>Conclusioni: I risultati confermano che l'inquinamento atmosferico, pur in diminuzione sul lungo periodo, resta il fattore di rischio ambientale con il maggiore impatto sulla salute umana. Il metodo utilizzato è un utile strumento di sanità pubblica, per valutare l’efficacia di azioni di mitigazione dell’inquinamento atmosferico, in termini di miglioramento della salute della popolazione.</w:t>
      </w:r>
    </w:p>
    <w:p w14:paraId="384FABE7" w14:textId="77777777" w:rsidR="00132504" w:rsidRPr="00C7091C" w:rsidRDefault="00000000">
      <w:pPr>
        <w:pStyle w:val="Titolo1"/>
        <w:spacing w:before="216"/>
        <w:rPr>
          <w:lang w:val="fr-FR"/>
        </w:rPr>
      </w:pPr>
      <w:r w:rsidRPr="00C7091C">
        <w:rPr>
          <w:spacing w:val="-2"/>
          <w:lang w:val="fr-FR"/>
        </w:rPr>
        <w:t>Bibliografia</w:t>
      </w:r>
    </w:p>
    <w:p w14:paraId="63827E8E" w14:textId="77777777" w:rsidR="00132504" w:rsidRPr="00C7091C" w:rsidRDefault="00000000">
      <w:pPr>
        <w:tabs>
          <w:tab w:val="left" w:pos="821"/>
        </w:tabs>
        <w:spacing w:before="39" w:line="237" w:lineRule="auto"/>
        <w:ind w:left="112" w:right="4008"/>
        <w:rPr>
          <w:sz w:val="20"/>
          <w:lang w:val="fr-FR"/>
        </w:rPr>
      </w:pPr>
      <w:r w:rsidRPr="00C7091C">
        <w:rPr>
          <w:spacing w:val="-4"/>
          <w:sz w:val="20"/>
          <w:lang w:val="fr-FR"/>
        </w:rPr>
        <w:t>[1]</w:t>
      </w:r>
      <w:r w:rsidRPr="00C7091C">
        <w:rPr>
          <w:sz w:val="20"/>
          <w:lang w:val="fr-FR"/>
        </w:rPr>
        <w:tab/>
        <w:t>Thurston</w:t>
      </w:r>
      <w:r w:rsidRPr="00C7091C">
        <w:rPr>
          <w:spacing w:val="-7"/>
          <w:sz w:val="20"/>
          <w:lang w:val="fr-FR"/>
        </w:rPr>
        <w:t xml:space="preserve"> </w:t>
      </w:r>
      <w:r w:rsidRPr="00C7091C">
        <w:rPr>
          <w:sz w:val="20"/>
          <w:lang w:val="fr-FR"/>
        </w:rPr>
        <w:t>GD</w:t>
      </w:r>
      <w:r w:rsidRPr="00C7091C">
        <w:rPr>
          <w:spacing w:val="-5"/>
          <w:sz w:val="20"/>
          <w:lang w:val="fr-FR"/>
        </w:rPr>
        <w:t xml:space="preserve"> </w:t>
      </w:r>
      <w:r w:rsidRPr="00C7091C">
        <w:rPr>
          <w:sz w:val="20"/>
          <w:lang w:val="fr-FR"/>
        </w:rPr>
        <w:t>et</w:t>
      </w:r>
      <w:r w:rsidRPr="00C7091C">
        <w:rPr>
          <w:spacing w:val="-6"/>
          <w:sz w:val="20"/>
          <w:lang w:val="fr-FR"/>
        </w:rPr>
        <w:t xml:space="preserve"> </w:t>
      </w:r>
      <w:r w:rsidRPr="00C7091C">
        <w:rPr>
          <w:sz w:val="20"/>
          <w:lang w:val="fr-FR"/>
        </w:rPr>
        <w:t>al.</w:t>
      </w:r>
      <w:r w:rsidRPr="00C7091C">
        <w:rPr>
          <w:spacing w:val="-6"/>
          <w:sz w:val="20"/>
          <w:lang w:val="fr-FR"/>
        </w:rPr>
        <w:t xml:space="preserve"> </w:t>
      </w:r>
      <w:r w:rsidRPr="00C7091C">
        <w:rPr>
          <w:sz w:val="20"/>
          <w:lang w:val="fr-FR"/>
        </w:rPr>
        <w:t>2017.</w:t>
      </w:r>
      <w:r w:rsidRPr="00C7091C">
        <w:rPr>
          <w:spacing w:val="-3"/>
          <w:sz w:val="20"/>
          <w:lang w:val="fr-FR"/>
        </w:rPr>
        <w:t xml:space="preserve"> </w:t>
      </w:r>
      <w:r w:rsidRPr="00B7688E">
        <w:rPr>
          <w:sz w:val="20"/>
          <w:lang w:val="fr-FR"/>
        </w:rPr>
        <w:t>DOI:</w:t>
      </w:r>
      <w:r w:rsidRPr="00B7688E">
        <w:rPr>
          <w:spacing w:val="-7"/>
          <w:sz w:val="20"/>
          <w:lang w:val="fr-FR"/>
        </w:rPr>
        <w:t xml:space="preserve"> </w:t>
      </w:r>
      <w:r w:rsidRPr="00B7688E">
        <w:rPr>
          <w:sz w:val="20"/>
          <w:lang w:val="fr-FR"/>
        </w:rPr>
        <w:t xml:space="preserve">10.1183/13993003.00419-2016 </w:t>
      </w:r>
      <w:r w:rsidRPr="00B7688E">
        <w:rPr>
          <w:spacing w:val="-4"/>
          <w:sz w:val="20"/>
          <w:lang w:val="fr-FR"/>
        </w:rPr>
        <w:t>[2]</w:t>
      </w:r>
      <w:r w:rsidRPr="00B7688E">
        <w:rPr>
          <w:sz w:val="20"/>
          <w:lang w:val="fr-FR"/>
        </w:rPr>
        <w:tab/>
        <w:t xml:space="preserve">Chen J et al. 2020. </w:t>
      </w:r>
      <w:r w:rsidRPr="00C7091C">
        <w:rPr>
          <w:sz w:val="20"/>
          <w:lang w:val="fr-FR"/>
        </w:rPr>
        <w:t>DOI: 10.1016/j.envint.2020.105974</w:t>
      </w:r>
    </w:p>
    <w:p w14:paraId="203DEBEC" w14:textId="77777777" w:rsidR="00132504" w:rsidRPr="00C7091C" w:rsidRDefault="00000000">
      <w:pPr>
        <w:tabs>
          <w:tab w:val="left" w:pos="821"/>
        </w:tabs>
        <w:spacing w:before="1"/>
        <w:ind w:left="112"/>
        <w:rPr>
          <w:sz w:val="20"/>
          <w:lang w:val="fr-FR"/>
        </w:rPr>
      </w:pPr>
      <w:r w:rsidRPr="00C7091C">
        <w:rPr>
          <w:spacing w:val="-5"/>
          <w:sz w:val="20"/>
          <w:lang w:val="fr-FR"/>
        </w:rPr>
        <w:t>[3]</w:t>
      </w:r>
      <w:r w:rsidRPr="00C7091C">
        <w:rPr>
          <w:sz w:val="20"/>
          <w:lang w:val="fr-FR"/>
        </w:rPr>
        <w:tab/>
      </w:r>
      <w:r w:rsidRPr="00C7091C">
        <w:rPr>
          <w:spacing w:val="-2"/>
          <w:sz w:val="20"/>
          <w:lang w:val="fr-FR"/>
        </w:rPr>
        <w:t>https://apps.who.int/iris/handle/10665/345329</w:t>
      </w:r>
    </w:p>
    <w:p w14:paraId="02908A84" w14:textId="77777777" w:rsidR="00132504" w:rsidRDefault="00000000">
      <w:pPr>
        <w:tabs>
          <w:tab w:val="left" w:pos="821"/>
        </w:tabs>
        <w:ind w:left="112"/>
        <w:rPr>
          <w:sz w:val="20"/>
        </w:rPr>
      </w:pPr>
      <w:r>
        <w:rPr>
          <w:spacing w:val="-5"/>
          <w:sz w:val="20"/>
        </w:rPr>
        <w:t>[4]</w:t>
      </w:r>
      <w:r>
        <w:rPr>
          <w:sz w:val="20"/>
        </w:rPr>
        <w:tab/>
      </w:r>
      <w:proofErr w:type="spellStart"/>
      <w:r>
        <w:rPr>
          <w:sz w:val="20"/>
        </w:rPr>
        <w:t>Stafoggia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al.</w:t>
      </w:r>
      <w:r>
        <w:rPr>
          <w:spacing w:val="-6"/>
          <w:sz w:val="20"/>
        </w:rPr>
        <w:t xml:space="preserve"> </w:t>
      </w:r>
      <w:r>
        <w:rPr>
          <w:sz w:val="20"/>
        </w:rPr>
        <w:t>2020.</w:t>
      </w:r>
      <w:r>
        <w:rPr>
          <w:spacing w:val="-4"/>
          <w:sz w:val="20"/>
        </w:rPr>
        <w:t xml:space="preserve"> </w:t>
      </w:r>
      <w:r>
        <w:rPr>
          <w:sz w:val="20"/>
        </w:rPr>
        <w:t>DOI:</w:t>
      </w:r>
      <w:r>
        <w:rPr>
          <w:spacing w:val="-7"/>
          <w:sz w:val="20"/>
        </w:rPr>
        <w:t xml:space="preserve"> </w:t>
      </w:r>
      <w:r>
        <w:rPr>
          <w:sz w:val="20"/>
        </w:rPr>
        <w:t>10.19191/EP20.5-</w:t>
      </w:r>
      <w:r>
        <w:rPr>
          <w:spacing w:val="-2"/>
          <w:sz w:val="20"/>
        </w:rPr>
        <w:t>6.S2.115</w:t>
      </w:r>
    </w:p>
    <w:p w14:paraId="7E1E8BE4" w14:textId="77777777" w:rsidR="00132504" w:rsidRDefault="00000000">
      <w:pPr>
        <w:tabs>
          <w:tab w:val="left" w:pos="821"/>
        </w:tabs>
        <w:spacing w:before="1"/>
        <w:ind w:left="112"/>
        <w:rPr>
          <w:sz w:val="20"/>
        </w:rPr>
      </w:pPr>
      <w:r>
        <w:rPr>
          <w:spacing w:val="-5"/>
          <w:sz w:val="20"/>
        </w:rPr>
        <w:t>[5]</w:t>
      </w:r>
      <w:r>
        <w:rPr>
          <w:sz w:val="20"/>
        </w:rPr>
        <w:tab/>
      </w:r>
      <w:r>
        <w:rPr>
          <w:spacing w:val="-2"/>
          <w:sz w:val="20"/>
        </w:rPr>
        <w:t>https://rias.epiprev.it/index.php?viias</w:t>
      </w:r>
    </w:p>
    <w:sectPr w:rsidR="00132504">
      <w:headerReference w:type="default" r:id="rId6"/>
      <w:type w:val="continuous"/>
      <w:pgSz w:w="11910" w:h="16840"/>
      <w:pgMar w:top="1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DF6F" w14:textId="77777777" w:rsidR="007D0D2B" w:rsidRDefault="007D0D2B" w:rsidP="00B7688E">
      <w:r>
        <w:separator/>
      </w:r>
    </w:p>
  </w:endnote>
  <w:endnote w:type="continuationSeparator" w:id="0">
    <w:p w14:paraId="7A801794" w14:textId="77777777" w:rsidR="007D0D2B" w:rsidRDefault="007D0D2B" w:rsidP="00B7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E4FA" w14:textId="77777777" w:rsidR="007D0D2B" w:rsidRDefault="007D0D2B" w:rsidP="00B7688E">
      <w:r>
        <w:separator/>
      </w:r>
    </w:p>
  </w:footnote>
  <w:footnote w:type="continuationSeparator" w:id="0">
    <w:p w14:paraId="2224CD5B" w14:textId="77777777" w:rsidR="007D0D2B" w:rsidRDefault="007D0D2B" w:rsidP="00B7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D4B6" w14:textId="3F2D1F1B" w:rsidR="00C7091C" w:rsidRDefault="00C7091C">
    <w:pPr>
      <w:pStyle w:val="Intestazione"/>
      <w:rPr>
        <w:i/>
        <w:iCs/>
        <w:color w:val="31849B" w:themeColor="accent5" w:themeShade="BF"/>
      </w:rPr>
    </w:pPr>
    <w:r>
      <w:rPr>
        <w:i/>
        <w:iCs/>
        <w:noProof/>
        <w:color w:val="31849B" w:themeColor="accent5" w:themeShade="BF"/>
      </w:rPr>
      <w:drawing>
        <wp:anchor distT="0" distB="0" distL="114300" distR="114300" simplePos="0" relativeHeight="251658240" behindDoc="0" locked="0" layoutInCell="1" allowOverlap="1" wp14:anchorId="5D624EA4" wp14:editId="4D1D4B44">
          <wp:simplePos x="0" y="0"/>
          <wp:positionH relativeFrom="column">
            <wp:posOffset>239077</wp:posOffset>
          </wp:positionH>
          <wp:positionV relativeFrom="page">
            <wp:posOffset>71120</wp:posOffset>
          </wp:positionV>
          <wp:extent cx="783590" cy="666750"/>
          <wp:effectExtent l="0" t="0" r="0" b="0"/>
          <wp:wrapSquare wrapText="bothSides"/>
          <wp:docPr id="57932182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color w:val="31849B" w:themeColor="accent5" w:themeShade="BF"/>
      </w:rPr>
      <w:tab/>
    </w:r>
    <w:r>
      <w:rPr>
        <w:i/>
        <w:iCs/>
        <w:color w:val="31849B" w:themeColor="accent5" w:themeShade="BF"/>
      </w:rPr>
      <w:tab/>
      <w:t>IAS -Società Italiana di Aerosol</w:t>
    </w:r>
  </w:p>
  <w:p w14:paraId="57FD3708" w14:textId="395E2FC3" w:rsidR="00B7688E" w:rsidRPr="00B7688E" w:rsidRDefault="00C7091C">
    <w:pPr>
      <w:pStyle w:val="Intestazione"/>
      <w:rPr>
        <w:i/>
        <w:iCs/>
        <w:color w:val="31849B" w:themeColor="accent5" w:themeShade="BF"/>
      </w:rPr>
    </w:pPr>
    <w:r>
      <w:rPr>
        <w:i/>
        <w:iCs/>
        <w:color w:val="31849B" w:themeColor="accent5" w:themeShade="BF"/>
      </w:rPr>
      <w:tab/>
    </w:r>
    <w:r>
      <w:rPr>
        <w:i/>
        <w:iCs/>
        <w:color w:val="31849B" w:themeColor="accent5" w:themeShade="BF"/>
      </w:rPr>
      <w:tab/>
    </w:r>
    <w:r w:rsidR="00B7688E" w:rsidRPr="00B7688E">
      <w:rPr>
        <w:i/>
        <w:iCs/>
        <w:color w:val="31849B" w:themeColor="accent5" w:themeShade="BF"/>
      </w:rPr>
      <w:t>PM202</w:t>
    </w:r>
    <w:r w:rsidR="002B1FD7">
      <w:rPr>
        <w:i/>
        <w:iCs/>
        <w:color w:val="31849B" w:themeColor="accent5" w:themeShade="BF"/>
      </w:rPr>
      <w:t>6</w:t>
    </w:r>
    <w:r w:rsidR="00B7688E" w:rsidRPr="00B7688E">
      <w:rPr>
        <w:i/>
        <w:iCs/>
        <w:color w:val="31849B" w:themeColor="accent5" w:themeShade="BF"/>
      </w:rPr>
      <w:t xml:space="preserve"> – </w:t>
    </w:r>
    <w:r w:rsidR="002B1FD7">
      <w:rPr>
        <w:i/>
        <w:iCs/>
        <w:color w:val="31849B" w:themeColor="accent5" w:themeShade="BF"/>
      </w:rPr>
      <w:t>Napoli</w:t>
    </w:r>
    <w:r w:rsidR="00B7688E" w:rsidRPr="00B7688E">
      <w:rPr>
        <w:i/>
        <w:iCs/>
        <w:color w:val="31849B" w:themeColor="accent5" w:themeShade="BF"/>
      </w:rPr>
      <w:t>, 2</w:t>
    </w:r>
    <w:r w:rsidR="002B1FD7">
      <w:rPr>
        <w:i/>
        <w:iCs/>
        <w:color w:val="31849B" w:themeColor="accent5" w:themeShade="BF"/>
      </w:rPr>
      <w:t>6</w:t>
    </w:r>
    <w:r w:rsidR="00B7688E" w:rsidRPr="00B7688E">
      <w:rPr>
        <w:i/>
        <w:iCs/>
        <w:color w:val="31849B" w:themeColor="accent5" w:themeShade="BF"/>
      </w:rPr>
      <w:t xml:space="preserve"> – </w:t>
    </w:r>
    <w:r w:rsidR="002B1FD7">
      <w:rPr>
        <w:i/>
        <w:iCs/>
        <w:color w:val="31849B" w:themeColor="accent5" w:themeShade="BF"/>
      </w:rPr>
      <w:t xml:space="preserve">29 </w:t>
    </w:r>
    <w:r w:rsidR="00B7688E" w:rsidRPr="00B7688E">
      <w:rPr>
        <w:i/>
        <w:iCs/>
        <w:color w:val="31849B" w:themeColor="accent5" w:themeShade="BF"/>
      </w:rPr>
      <w:t>maggio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04"/>
    <w:rsid w:val="00132504"/>
    <w:rsid w:val="002B1FD7"/>
    <w:rsid w:val="005347CA"/>
    <w:rsid w:val="00605FF8"/>
    <w:rsid w:val="007D0D2B"/>
    <w:rsid w:val="00B7688E"/>
    <w:rsid w:val="00C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91B3"/>
  <w15:docId w15:val="{DDAFC192-3BC6-441B-839E-F2A94FAE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278" w:right="2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68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8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68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88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2863</Characters>
  <Application>Microsoft Office Word</Application>
  <DocSecurity>0</DocSecurity>
  <Lines>65</Lines>
  <Paragraphs>14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Perrino</dc:creator>
  <cp:lastModifiedBy>Carole Lecerf</cp:lastModifiedBy>
  <cp:revision>3</cp:revision>
  <dcterms:created xsi:type="dcterms:W3CDTF">2025-10-21T11:41:00Z</dcterms:created>
  <dcterms:modified xsi:type="dcterms:W3CDTF">2025-10-21T11:43:00Z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2022-06-14T00:00:00Z</vt:filetime>
  </property>
</Properties>
</file>